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41C" w:rsidRDefault="0007741C" w:rsidP="0007741C">
      <w:pPr>
        <w:rPr>
          <w:rStyle w:val="fontstyle01"/>
          <w:rFonts w:asciiTheme="minorHAnsi" w:hAnsiTheme="minorHAnsi"/>
          <w:b w:val="0"/>
          <w:bCs w:val="0"/>
          <w:color w:val="auto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0</wp:posOffset>
                </wp:positionV>
                <wp:extent cx="1810385" cy="1210310"/>
                <wp:effectExtent l="0" t="0" r="0" b="889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REGION DE L’EXTREME-NORD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=============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DEPARTEMENT DE MAYO-TSANAGA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============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COMMUNE DE HINA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=======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SECRETARIAT GENERAL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======</w:t>
                            </w:r>
                          </w:p>
                          <w:p w:rsidR="0007741C" w:rsidRDefault="0007741C" w:rsidP="0007741C"/>
                          <w:p w:rsidR="0007741C" w:rsidRDefault="0007741C" w:rsidP="0007741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41.1pt;margin-top:0;width:142.55pt;height: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" stroked="f">
                <v:textbox>
                  <w:txbxContent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REGION DE L’EXTREME-NORD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=============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DEPARTEMENT DE MAYO-TSANAGA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============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COMMUNE DE HINA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=======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SECRETARIAT GENERAL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======</w:t>
                      </w:r>
                    </w:p>
                    <w:p w:rsidR="0007741C" w:rsidRDefault="0007741C" w:rsidP="0007741C"/>
                    <w:p w:rsidR="0007741C" w:rsidRDefault="0007741C" w:rsidP="0007741C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635</wp:posOffset>
                </wp:positionV>
                <wp:extent cx="1724660" cy="520065"/>
                <wp:effectExtent l="0" t="0" r="8890" b="5715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REPUBLIQUE DU CAMEROUN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PAIX –TRAVAIL-PATRIE</w:t>
                            </w:r>
                          </w:p>
                          <w:p w:rsidR="0007741C" w:rsidRDefault="0007741C" w:rsidP="0007741C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=======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margin-left:383.95pt;margin-top:.05pt;width:135.8pt;height:40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" stroked="f">
                <v:textbox style="mso-fit-shape-to-text:t">
                  <w:txbxContent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REPUBLIQUE DU CAMEROUN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PAIX –TRAVAIL-PATRIE</w:t>
                      </w:r>
                    </w:p>
                    <w:p w:rsidR="0007741C" w:rsidRDefault="0007741C" w:rsidP="0007741C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=======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</w:t>
      </w:r>
      <w:r>
        <w:rPr>
          <w:noProof/>
          <w:lang w:eastAsia="fr-FR"/>
        </w:rPr>
        <w:drawing>
          <wp:inline distT="0" distB="0" distL="0" distR="0">
            <wp:extent cx="1487170" cy="11690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</w:t>
      </w:r>
    </w:p>
    <w:p w:rsidR="0007741C" w:rsidRDefault="0007741C" w:rsidP="0007741C">
      <w:pPr>
        <w:jc w:val="center"/>
        <w:rPr>
          <w:rStyle w:val="fontstyle31"/>
          <w:sz w:val="42"/>
          <w:szCs w:val="40"/>
          <w:u w:val="single"/>
        </w:rPr>
      </w:pPr>
      <w:r>
        <w:rPr>
          <w:rStyle w:val="fontstyle01"/>
          <w:sz w:val="32"/>
          <w:szCs w:val="40"/>
          <w:u w:val="single"/>
        </w:rPr>
        <w:t xml:space="preserve">DECISION D'INFRUCTUOSITE N </w:t>
      </w:r>
      <w:r>
        <w:rPr>
          <w:rStyle w:val="fontstyle01"/>
          <w:color w:val="494A48"/>
          <w:sz w:val="32"/>
          <w:szCs w:val="40"/>
          <w:u w:val="single"/>
        </w:rPr>
        <w:t>° 001</w:t>
      </w:r>
      <w:r w:rsidR="002C483E">
        <w:rPr>
          <w:rStyle w:val="fontstyle01"/>
          <w:sz w:val="32"/>
          <w:szCs w:val="40"/>
          <w:u w:val="single"/>
        </w:rPr>
        <w:t>/DI/2026</w:t>
      </w:r>
      <w:r>
        <w:rPr>
          <w:rStyle w:val="fontstyle01"/>
          <w:sz w:val="32"/>
          <w:szCs w:val="40"/>
          <w:u w:val="single"/>
        </w:rPr>
        <w:t>/C-HINA</w:t>
      </w:r>
    </w:p>
    <w:p w:rsidR="0007741C" w:rsidRPr="0031241A" w:rsidRDefault="0007741C" w:rsidP="0007741C">
      <w:pPr>
        <w:spacing w:after="0"/>
        <w:ind w:firstLine="708"/>
        <w:jc w:val="center"/>
        <w:rPr>
          <w:rStyle w:val="fontstyle31"/>
          <w:bCs w:val="0"/>
          <w:iCs w:val="0"/>
          <w:sz w:val="24"/>
          <w:szCs w:val="24"/>
        </w:rPr>
      </w:pPr>
      <w:r w:rsidRPr="0031241A">
        <w:rPr>
          <w:rStyle w:val="fontstyle31"/>
          <w:bCs w:val="0"/>
          <w:iCs w:val="0"/>
          <w:sz w:val="24"/>
          <w:szCs w:val="24"/>
        </w:rPr>
        <w:t>LE MAIRE DE LA COMMUNE DE HINA (MAITRE D’OUVRAGE)</w:t>
      </w:r>
    </w:p>
    <w:p w:rsidR="0007741C" w:rsidRDefault="0007741C" w:rsidP="0007741C">
      <w:pPr>
        <w:spacing w:after="0"/>
        <w:ind w:firstLine="708"/>
      </w:pPr>
      <w:r>
        <w:rPr>
          <w:rFonts w:ascii="Helvetica" w:hAnsi="Helvetica" w:cs="Helvetica"/>
          <w:color w:val="2F2F2F"/>
        </w:rPr>
        <w:br/>
      </w:r>
      <w:r>
        <w:rPr>
          <w:rFonts w:ascii="Times New Roman" w:hAnsi="Times New Roman" w:cs="Times New Roman"/>
        </w:rPr>
        <w:t>Vu        la Constitution ;</w:t>
      </w:r>
    </w:p>
    <w:p w:rsidR="0007741C" w:rsidRDefault="0007741C" w:rsidP="0007741C">
      <w:pPr>
        <w:tabs>
          <w:tab w:val="left" w:pos="1276"/>
        </w:tabs>
        <w:spacing w:after="0" w:line="240" w:lineRule="auto"/>
        <w:ind w:left="708" w:right="310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>2001/048 du 23 Février 2001 portant organisation et fonctionnement de l’Agence d Régulation des Marchés Publics ;</w:t>
      </w:r>
    </w:p>
    <w:p w:rsidR="0007741C" w:rsidRDefault="0007741C" w:rsidP="0007741C">
      <w:pPr>
        <w:spacing w:after="0" w:line="240" w:lineRule="auto"/>
        <w:ind w:left="34" w:right="3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</w:t>
      </w:r>
      <w:r>
        <w:rPr>
          <w:rFonts w:ascii="Times New Roman" w:hAnsi="Times New Roman" w:cs="Times New Roman"/>
          <w:vertAlign w:val="superscript"/>
        </w:rPr>
        <w:t xml:space="preserve">0 </w:t>
      </w:r>
      <w:r>
        <w:rPr>
          <w:rFonts w:ascii="Times New Roman" w:hAnsi="Times New Roman" w:cs="Times New Roman"/>
        </w:rPr>
        <w:t>2002/03 du 19 Avril 2002 portant code général des impôts ;</w:t>
      </w:r>
    </w:p>
    <w:p w:rsidR="0007741C" w:rsidRDefault="0007741C" w:rsidP="0007741C">
      <w:pPr>
        <w:spacing w:after="0" w:line="240" w:lineRule="auto"/>
        <w:ind w:left="708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n°2003/651/PM du 16 Avril 2003 fixant les modalités d’application du régime fiscal des Marchés Publics ;</w:t>
      </w:r>
    </w:p>
    <w:p w:rsidR="0007741C" w:rsidRDefault="0007741C" w:rsidP="0007741C">
      <w:pPr>
        <w:spacing w:after="0" w:line="240" w:lineRule="auto"/>
        <w:ind w:left="708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 xml:space="preserve">la Circulaire n°004/CAB/PM du 30 Décembre 2005 relative à l’application du code des Marchés Publics ; </w:t>
      </w:r>
    </w:p>
    <w:p w:rsidR="0007741C" w:rsidRDefault="0007741C" w:rsidP="0007741C">
      <w:pPr>
        <w:spacing w:after="0" w:line="240" w:lineRule="auto"/>
        <w:ind w:left="708" w:hanging="68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Vu</w:t>
      </w:r>
      <w:r>
        <w:rPr>
          <w:rFonts w:ascii="Times New Roman" w:hAnsi="Times New Roman" w:cs="Times New Roman"/>
          <w:noProof/>
        </w:rPr>
        <w:tab/>
        <w:t xml:space="preserve"> </w:t>
      </w:r>
      <w:r>
        <w:rPr>
          <w:rFonts w:ascii="Times New Roman" w:hAnsi="Times New Roman" w:cs="Times New Roman"/>
        </w:rPr>
        <w:t>l’Arrêté Présidentiel n°33/CAB/PM du 13 Février 2007 mettant en vigueur les cahiers des clauses administratives générales applicables aux Marchés Publics des Travaux ;</w:t>
      </w:r>
    </w:p>
    <w:p w:rsidR="0007741C" w:rsidRDefault="0007741C" w:rsidP="0007741C">
      <w:pPr>
        <w:spacing w:after="0" w:line="240" w:lineRule="auto"/>
        <w:ind w:left="708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Vu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</w:rPr>
        <w:t xml:space="preserve"> la Circulaire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 xml:space="preserve">002 et 003/CAB/PMR du 30 Janvier 2011 qui précise les modalités de mutation économique des Marchés Publics ; </w:t>
      </w:r>
    </w:p>
    <w:p w:rsidR="0007741C" w:rsidRDefault="0007741C" w:rsidP="0007741C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 xml:space="preserve"> le Décret n'2004/275 du 24 Septembre 2004 portant code des Marchés Publics et ses textes subséquentes </w:t>
      </w:r>
    </w:p>
    <w:p w:rsidR="0007741C" w:rsidRDefault="0007741C" w:rsidP="0007741C">
      <w:pPr>
        <w:spacing w:after="0" w:line="240" w:lineRule="auto"/>
        <w:ind w:left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Vu 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</w:rPr>
        <w:t>le Décret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 xml:space="preserve">93/321 du 25 novembre 1993 portant création de la Commune de </w:t>
      </w:r>
      <w:proofErr w:type="spellStart"/>
      <w:r>
        <w:rPr>
          <w:rFonts w:ascii="Times New Roman" w:hAnsi="Times New Roman" w:cs="Times New Roman"/>
        </w:rPr>
        <w:t>Hina</w:t>
      </w:r>
      <w:proofErr w:type="spellEnd"/>
      <w:r>
        <w:rPr>
          <w:rFonts w:ascii="Times New Roman" w:hAnsi="Times New Roman" w:cs="Times New Roman"/>
        </w:rPr>
        <w:t> ;</w:t>
      </w:r>
    </w:p>
    <w:p w:rsidR="0007741C" w:rsidRDefault="0007741C" w:rsidP="0007741C">
      <w:pPr>
        <w:spacing w:after="0" w:line="240" w:lineRule="auto"/>
        <w:ind w:left="708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Décret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 xml:space="preserve">2018/190 du 02 Mars 2018 modifiant et complétant certaines dispositions du décrets n°2011/408 du 09 Décembre 2011 portant </w:t>
      </w:r>
      <w:r>
        <w:rPr>
          <w:rFonts w:ascii="Times New Roman" w:hAnsi="Times New Roman" w:cs="Times New Roman"/>
          <w:noProof/>
        </w:rPr>
        <w:t xml:space="preserve">organisation </w:t>
      </w:r>
      <w:r>
        <w:rPr>
          <w:rFonts w:ascii="Times New Roman" w:hAnsi="Times New Roman" w:cs="Times New Roman"/>
        </w:rPr>
        <w:t>du Gouvernement ;</w:t>
      </w:r>
    </w:p>
    <w:p w:rsidR="0007741C" w:rsidRDefault="0007741C" w:rsidP="0007741C">
      <w:pPr>
        <w:spacing w:after="0" w:line="240" w:lineRule="auto"/>
        <w:ind w:left="708" w:right="210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 xml:space="preserve">le Décret n 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 xml:space="preserve">2018/449 du l </w:t>
      </w:r>
      <w:r>
        <w:rPr>
          <w:rFonts w:ascii="Times New Roman" w:hAnsi="Times New Roman" w:cs="Times New Roman"/>
          <w:vertAlign w:val="superscript"/>
        </w:rPr>
        <w:t xml:space="preserve">er </w:t>
      </w:r>
      <w:r>
        <w:rPr>
          <w:rFonts w:ascii="Times New Roman" w:hAnsi="Times New Roman" w:cs="Times New Roman"/>
        </w:rPr>
        <w:t>Août 2018 portant organisation du Ministère de la Décentralisation et du développement Local ;</w:t>
      </w:r>
    </w:p>
    <w:p w:rsidR="0007741C" w:rsidRDefault="0007741C" w:rsidP="0007741C">
      <w:pPr>
        <w:spacing w:after="0" w:line="240" w:lineRule="auto"/>
        <w:ind w:left="34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</w:rPr>
        <w:tab/>
        <w:t xml:space="preserve"> le Décret n°2011/410 du 09 Décembre 2011 portant formation du Gouvernement ;</w:t>
      </w:r>
    </w:p>
    <w:p w:rsidR="0007741C" w:rsidRDefault="0007741C" w:rsidP="0007741C">
      <w:pPr>
        <w:spacing w:after="0" w:line="240" w:lineRule="auto"/>
        <w:ind w:left="34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 xml:space="preserve">le Décret n°2004/275 du 24 Septembre 2004 portant code des Marchés Publics ; </w:t>
      </w:r>
    </w:p>
    <w:p w:rsidR="0007741C" w:rsidRDefault="0007741C" w:rsidP="0007741C">
      <w:pPr>
        <w:spacing w:after="0" w:line="240" w:lineRule="auto"/>
        <w:ind w:left="34"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>20171343 du 03 Juillet 2017 portant nomination des Préfets ;</w:t>
      </w:r>
    </w:p>
    <w:p w:rsidR="0007741C" w:rsidRDefault="0007741C" w:rsidP="0007741C">
      <w:pPr>
        <w:spacing w:after="0" w:line="240" w:lineRule="auto"/>
        <w:ind w:left="708" w:right="210" w:hanging="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n°20121074 du 08 mars 2012 portant création, organisation et fonctionnement des commissions de passation des marchés.</w:t>
      </w:r>
    </w:p>
    <w:p w:rsidR="0007741C" w:rsidRDefault="0007741C" w:rsidP="0007741C">
      <w:pPr>
        <w:spacing w:after="0" w:line="240" w:lineRule="auto"/>
        <w:ind w:left="708" w:right="210" w:hanging="7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Vu </w:t>
      </w:r>
      <w:r>
        <w:rPr>
          <w:rFonts w:ascii="Times New Roman" w:hAnsi="Times New Roman" w:cs="Times New Roman"/>
        </w:rPr>
        <w:tab/>
        <w:t xml:space="preserve">La Décision n°00000157/CAB/ </w:t>
      </w:r>
      <w:proofErr w:type="spellStart"/>
      <w:r>
        <w:rPr>
          <w:rFonts w:ascii="Times New Roman" w:hAnsi="Times New Roman" w:cs="Times New Roman"/>
        </w:rPr>
        <w:t>MlNMAP</w:t>
      </w:r>
      <w:proofErr w:type="spellEnd"/>
      <w:r>
        <w:rPr>
          <w:rFonts w:ascii="Times New Roman" w:hAnsi="Times New Roman" w:cs="Times New Roman"/>
        </w:rPr>
        <w:t xml:space="preserve"> du 15 Mars 2019 portant nomination des présidents des Commissions Internes de passation des Marchés auprès des Communes et Communes d’Arrondissement.</w:t>
      </w:r>
    </w:p>
    <w:p w:rsidR="0007741C" w:rsidRDefault="0007741C" w:rsidP="0007741C">
      <w:pPr>
        <w:spacing w:after="0" w:line="24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</w:t>
      </w:r>
      <w:r>
        <w:rPr>
          <w:rFonts w:ascii="Times New Roman" w:hAnsi="Times New Roman" w:cs="Times New Roman"/>
          <w:vertAlign w:val="superscript"/>
        </w:rPr>
        <w:t xml:space="preserve">0 </w:t>
      </w:r>
      <w:r>
        <w:rPr>
          <w:rFonts w:ascii="Times New Roman" w:hAnsi="Times New Roman" w:cs="Times New Roman"/>
        </w:rPr>
        <w:t>20121075 du 08 Mars 2012 portant organisation du Ministère des Marchés Publics ;</w:t>
      </w:r>
    </w:p>
    <w:p w:rsidR="0007741C" w:rsidRDefault="0007741C" w:rsidP="0007741C">
      <w:pPr>
        <w:spacing w:after="0" w:line="240" w:lineRule="auto"/>
        <w:ind w:left="708" w:right="210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</w:rPr>
        <w:tab/>
        <w:t xml:space="preserve"> le Décret n°2012/076 du 08 Mars 2012 modifiant et complétant certaines dispositions du Décret n°2001/048 du 23 Février 2001 création, organisation et fonctionnement de L’ARMP ;</w:t>
      </w:r>
    </w:p>
    <w:p w:rsidR="0007741C" w:rsidRDefault="0007741C" w:rsidP="0007741C">
      <w:pPr>
        <w:spacing w:after="0" w:line="240" w:lineRule="auto"/>
        <w:ind w:left="708" w:right="194" w:hanging="6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</w:rPr>
        <w:tab/>
        <w:t xml:space="preserve"> la Circulaire n°001/CAB/PR du 19 Juin 2012 relative à la passation et contrôle de l’Exécution des Marchés Publics ;</w:t>
      </w:r>
    </w:p>
    <w:p w:rsidR="0007741C" w:rsidRDefault="0007741C" w:rsidP="0007741C">
      <w:pPr>
        <w:spacing w:after="0" w:line="240" w:lineRule="auto"/>
        <w:ind w:left="708" w:right="194" w:hanging="6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</w:t>
      </w:r>
      <w:r>
        <w:rPr>
          <w:rFonts w:ascii="Times New Roman" w:hAnsi="Times New Roman" w:cs="Times New Roman"/>
        </w:rPr>
        <w:tab/>
        <w:t xml:space="preserve"> L'Arrêté n</w:t>
      </w:r>
      <w:r>
        <w:rPr>
          <w:rFonts w:ascii="Times New Roman" w:hAnsi="Times New Roman" w:cs="Times New Roman"/>
          <w:vertAlign w:val="superscript"/>
        </w:rPr>
        <w:t>°</w:t>
      </w:r>
      <w:r>
        <w:rPr>
          <w:rFonts w:ascii="Times New Roman" w:hAnsi="Times New Roman" w:cs="Times New Roman"/>
        </w:rPr>
        <w:t>00004/A/</w:t>
      </w:r>
      <w:proofErr w:type="spellStart"/>
      <w:r>
        <w:rPr>
          <w:rFonts w:ascii="Times New Roman" w:hAnsi="Times New Roman" w:cs="Times New Roman"/>
        </w:rPr>
        <w:t>MlNDDEVEL</w:t>
      </w:r>
      <w:proofErr w:type="spellEnd"/>
      <w:r>
        <w:rPr>
          <w:rFonts w:ascii="Times New Roman" w:hAnsi="Times New Roman" w:cs="Times New Roman"/>
        </w:rPr>
        <w:t xml:space="preserve"> du 03 Mars 2020 constatant l'élection du Maire et des Adjoints au Maire à l'issue du scrutin municipal du 09 Février </w:t>
      </w:r>
      <w:r>
        <w:rPr>
          <w:rFonts w:ascii="Times New Roman" w:hAnsi="Times New Roman" w:cs="Times New Roman"/>
          <w:noProof/>
        </w:rPr>
        <w:t xml:space="preserve">20020 dans la </w:t>
      </w:r>
      <w:r>
        <w:rPr>
          <w:rFonts w:ascii="Times New Roman" w:hAnsi="Times New Roman" w:cs="Times New Roman"/>
        </w:rPr>
        <w:t xml:space="preserve">Commune de </w:t>
      </w:r>
      <w:proofErr w:type="spellStart"/>
      <w:r>
        <w:rPr>
          <w:rFonts w:ascii="Times New Roman" w:hAnsi="Times New Roman" w:cs="Times New Roman"/>
        </w:rPr>
        <w:t>Hina</w:t>
      </w:r>
      <w:proofErr w:type="spellEnd"/>
      <w:r>
        <w:rPr>
          <w:rFonts w:ascii="Times New Roman" w:hAnsi="Times New Roman" w:cs="Times New Roman"/>
        </w:rPr>
        <w:t>, Département du Mayo-</w:t>
      </w:r>
      <w:proofErr w:type="spellStart"/>
      <w:r>
        <w:rPr>
          <w:rFonts w:ascii="Times New Roman" w:hAnsi="Times New Roman" w:cs="Times New Roman"/>
        </w:rPr>
        <w:t>Tsanaga</w:t>
      </w:r>
      <w:proofErr w:type="spellEnd"/>
      <w:r>
        <w:rPr>
          <w:rFonts w:ascii="Times New Roman" w:hAnsi="Times New Roman" w:cs="Times New Roman"/>
        </w:rPr>
        <w:t>, Région de l'Extrême-Nord.</w:t>
      </w:r>
    </w:p>
    <w:p w:rsidR="0007741C" w:rsidRDefault="0007741C" w:rsidP="0007741C">
      <w:pPr>
        <w:spacing w:after="0" w:line="240" w:lineRule="auto"/>
        <w:rPr>
          <w:rStyle w:val="fontstyle01"/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 w:cs="Times New Roman"/>
        </w:rPr>
        <w:t xml:space="preserve">Vu </w:t>
      </w:r>
      <w:r>
        <w:rPr>
          <w:rFonts w:ascii="Times New Roman" w:hAnsi="Times New Roman" w:cs="Times New Roman"/>
        </w:rPr>
        <w:tab/>
        <w:t>le Décret n°2018/366 du 20 Juin 2018 portant code des Marchés Public ;</w:t>
      </w:r>
      <w:r>
        <w:rPr>
          <w:rFonts w:ascii="Helvetica" w:hAnsi="Helvetica" w:cs="Helvetica"/>
          <w:color w:val="2F2F2F"/>
        </w:rPr>
        <w:br/>
      </w:r>
      <w:r>
        <w:rPr>
          <w:rStyle w:val="fontstyle31"/>
          <w:b w:val="0"/>
          <w:bCs w:val="0"/>
          <w:i w:val="0"/>
          <w:iCs w:val="0"/>
          <w:sz w:val="22"/>
          <w:szCs w:val="22"/>
        </w:rPr>
        <w:t xml:space="preserve">Vu </w:t>
      </w:r>
      <w:r>
        <w:rPr>
          <w:rStyle w:val="fontstyle31"/>
          <w:b w:val="0"/>
          <w:bCs w:val="0"/>
          <w:i w:val="0"/>
          <w:iCs w:val="0"/>
          <w:sz w:val="22"/>
          <w:szCs w:val="22"/>
        </w:rPr>
        <w:tab/>
      </w:r>
      <w:r>
        <w:rPr>
          <w:rStyle w:val="fontstyle31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les Demandes de Cotation</w:t>
      </w:r>
      <w:r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1"/>
          <w:rFonts w:ascii="Times New Roman" w:hAnsi="Times New Roman" w:cs="Times New Roman"/>
        </w:rPr>
        <w:t>Ouverte</w:t>
      </w:r>
      <w:r>
        <w:rPr>
          <w:rStyle w:val="fontstyle21"/>
        </w:rPr>
        <w:t xml:space="preserve"> </w:t>
      </w:r>
      <w:r>
        <w:rPr>
          <w:rStyle w:val="fontstyle31"/>
          <w:sz w:val="22"/>
          <w:szCs w:val="22"/>
        </w:rPr>
        <w:t>n</w:t>
      </w:r>
      <w:r w:rsidRPr="0007741C">
        <w:rPr>
          <w:rStyle w:val="fontstyle31"/>
          <w:color w:val="494A48"/>
          <w:sz w:val="22"/>
          <w:szCs w:val="22"/>
        </w:rPr>
        <w:t>°</w:t>
      </w:r>
      <w:r>
        <w:rPr>
          <w:rStyle w:val="fontstyle31"/>
          <w:sz w:val="22"/>
          <w:szCs w:val="22"/>
        </w:rPr>
        <w:t>001</w:t>
      </w:r>
      <w:r>
        <w:rPr>
          <w:rStyle w:val="fontstyle31"/>
          <w:color w:val="494A48"/>
          <w:sz w:val="22"/>
          <w:szCs w:val="22"/>
        </w:rPr>
        <w:t>, n</w:t>
      </w:r>
      <w:r w:rsidRPr="0007741C">
        <w:rPr>
          <w:rStyle w:val="fontstyle31"/>
          <w:color w:val="494A48"/>
          <w:sz w:val="22"/>
          <w:szCs w:val="22"/>
        </w:rPr>
        <w:t>°</w:t>
      </w:r>
      <w:r>
        <w:rPr>
          <w:rStyle w:val="fontstyle31"/>
          <w:sz w:val="22"/>
          <w:szCs w:val="22"/>
        </w:rPr>
        <w:t>002, n</w:t>
      </w:r>
      <w:r w:rsidRPr="0007741C">
        <w:rPr>
          <w:rStyle w:val="fontstyle31"/>
          <w:color w:val="494A48"/>
          <w:sz w:val="22"/>
          <w:szCs w:val="22"/>
        </w:rPr>
        <w:t>°</w:t>
      </w:r>
      <w:r>
        <w:rPr>
          <w:rStyle w:val="fontstyle31"/>
          <w:sz w:val="22"/>
          <w:szCs w:val="22"/>
        </w:rPr>
        <w:t xml:space="preserve">003, ; </w:t>
      </w:r>
      <w:r w:rsidR="002C483E">
        <w:rPr>
          <w:rFonts w:ascii="Times New Roman" w:eastAsia="SimSun" w:hAnsi="Times New Roman" w:cs="Times New Roman"/>
          <w:b/>
          <w:lang w:val="fr-CA"/>
        </w:rPr>
        <w:t>DCO/PROLOG/ du_19 mars  2026</w:t>
      </w:r>
      <w:r>
        <w:rPr>
          <w:rFonts w:ascii="Times New Roman" w:eastAsia="SimSun" w:hAnsi="Times New Roman" w:cs="Times New Roman"/>
          <w:b/>
          <w:lang w:val="fr-CA"/>
        </w:rPr>
        <w:t xml:space="preserve"> ; </w:t>
      </w:r>
      <w:r>
        <w:rPr>
          <w:rStyle w:val="fontstyle21"/>
          <w:rFonts w:ascii="Times New Roman" w:hAnsi="Times New Roman" w:cs="Times New Roman"/>
          <w:color w:val="000000" w:themeColor="text1"/>
        </w:rPr>
        <w:t>relatives à la construction d’un BLOC DE DEUX SALLES DE CLASSE EQUIPEES  respectivement dans les localités de</w:t>
      </w:r>
      <w:r w:rsidRPr="0007741C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MADAMA, KAFTAKA,ET le forage équipée  d’une mini –AEP  à </w:t>
      </w:r>
      <w:r w:rsidR="002C483E">
        <w:rPr>
          <w:rStyle w:val="fontstyle21"/>
          <w:rFonts w:ascii="Times New Roman" w:hAnsi="Times New Roman" w:cs="Times New Roman"/>
          <w:color w:val="000000" w:themeColor="text1"/>
        </w:rPr>
        <w:t xml:space="preserve">MAYO-MBOUDI   </w:t>
      </w:r>
      <w:r>
        <w:rPr>
          <w:rStyle w:val="fontstyle21"/>
          <w:rFonts w:ascii="Times New Roman" w:hAnsi="Times New Roman" w:cs="Times New Roman"/>
          <w:color w:val="000000" w:themeColor="text1"/>
        </w:rPr>
        <w:t xml:space="preserve">dans la COMMUNE DE HINA DEPARTEMENT DU MAYO TSANAGA </w:t>
      </w:r>
      <w:r>
        <w:rPr>
          <w:rStyle w:val="fontstyle21"/>
          <w:rFonts w:ascii="Times New Roman" w:hAnsi="Times New Roman" w:cs="Times New Roman"/>
          <w:color w:val="000000" w:themeColor="text1"/>
        </w:rPr>
        <w:lastRenderedPageBreak/>
        <w:t xml:space="preserve">REGION DE L’EXTREME-NORD, </w:t>
      </w:r>
      <w:r>
        <w:rPr>
          <w:rStyle w:val="fontstyle01"/>
          <w:rFonts w:ascii="Times New Roman" w:hAnsi="Times New Roman" w:cs="Times New Roman"/>
          <w:b w:val="0"/>
          <w:bCs w:val="0"/>
          <w:color w:val="000000" w:themeColor="text1"/>
        </w:rPr>
        <w:t xml:space="preserve">pour </w:t>
      </w:r>
      <w:r>
        <w:rPr>
          <w:rStyle w:val="fontstyle41"/>
          <w:rFonts w:ascii="Times New Roman" w:hAnsi="Times New Roman" w:cs="Times New Roman"/>
          <w:i w:val="0"/>
          <w:iCs w:val="0"/>
          <w:color w:val="000000" w:themeColor="text1"/>
        </w:rPr>
        <w:t>le</w:t>
      </w:r>
      <w:r>
        <w:rPr>
          <w:rStyle w:val="fontstyle41"/>
          <w:rFonts w:ascii="Times New Roman" w:hAnsi="Times New Roman" w:cs="Times New Roman"/>
          <w:b/>
          <w:bCs/>
          <w:i w:val="0"/>
          <w:iCs w:val="0"/>
          <w:color w:val="000000" w:themeColor="text1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color w:val="000000" w:themeColor="text1"/>
        </w:rPr>
        <w:t>compte de l'exercice 2026</w:t>
      </w:r>
      <w:r>
        <w:rPr>
          <w:rFonts w:ascii="Helvetica" w:hAnsi="Helvetica" w:cs="Helvetica"/>
          <w:color w:val="2F2F2F"/>
        </w:rPr>
        <w:br/>
      </w:r>
      <w:r>
        <w:rPr>
          <w:rStyle w:val="fontstyle31"/>
          <w:sz w:val="22"/>
          <w:szCs w:val="22"/>
        </w:rPr>
        <w:t>- Considérant la proposition d’anfractuosité formulée par la Commission Interne de</w:t>
      </w:r>
      <w:r>
        <w:rPr>
          <w:rFonts w:ascii="Helvetica" w:hAnsi="Helvetica" w:cs="Helvetica"/>
          <w:color w:val="2F2F2F"/>
        </w:rPr>
        <w:br/>
      </w:r>
      <w:r>
        <w:rPr>
          <w:rStyle w:val="fontstyle31"/>
          <w:sz w:val="22"/>
          <w:szCs w:val="22"/>
        </w:rPr>
        <w:t>Passation des Marchés /CIPM</w:t>
      </w:r>
      <w:r>
        <w:rPr>
          <w:rStyle w:val="fontstyle31"/>
        </w:rPr>
        <w:t>) ;</w:t>
      </w:r>
    </w:p>
    <w:p w:rsidR="0007741C" w:rsidRDefault="0007741C" w:rsidP="0007741C">
      <w:pPr>
        <w:spacing w:after="0" w:line="360" w:lineRule="auto"/>
        <w:rPr>
          <w:rStyle w:val="fontstyle3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1241A">
        <w:rPr>
          <w:rStyle w:val="fontstyle01"/>
          <w:rFonts w:ascii="Times New Roman" w:hAnsi="Times New Roman" w:cs="Times New Roman"/>
          <w:sz w:val="24"/>
          <w:szCs w:val="24"/>
        </w:rPr>
        <w:t xml:space="preserve">                        DECIDE </w:t>
      </w:r>
      <w:proofErr w:type="gramStart"/>
      <w:r w:rsidR="0031241A">
        <w:rPr>
          <w:rStyle w:val="fontstyle01"/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bCs/>
          <w:color w:val="2F2F2F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  <w:u w:val="single"/>
        </w:rPr>
        <w:t xml:space="preserve">Article 1 </w:t>
      </w:r>
      <w:r>
        <w:rPr>
          <w:rStyle w:val="fontstyle21"/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Les Demandes de cotations </w:t>
      </w:r>
      <w:r>
        <w:rPr>
          <w:rStyle w:val="fontstyle3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Ouvertes :</w:t>
      </w:r>
    </w:p>
    <w:p w:rsidR="0007741C" w:rsidRDefault="0007741C" w:rsidP="0007741C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N° 001 /DCO/pr</w:t>
      </w:r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olog/commune de </w:t>
      </w:r>
      <w:proofErr w:type="spellStart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Hina</w:t>
      </w:r>
      <w:proofErr w:type="spellEnd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/SIGAMP/2026  du_19 mars 2026</w:t>
      </w: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;</w:t>
      </w:r>
    </w:p>
    <w:p w:rsidR="0007741C" w:rsidRDefault="0007741C" w:rsidP="0007741C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N° 002 / DCO /pr</w:t>
      </w:r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olog/commune de </w:t>
      </w:r>
      <w:proofErr w:type="spellStart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Hina</w:t>
      </w:r>
      <w:proofErr w:type="spellEnd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/SIGAMP/2026</w:t>
      </w: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 du_</w:t>
      </w:r>
      <w:r w:rsidR="002C483E" w:rsidRP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 </w:t>
      </w:r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du_19 mars 2026</w:t>
      </w: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;</w:t>
      </w:r>
    </w:p>
    <w:p w:rsidR="0007741C" w:rsidRPr="002C483E" w:rsidRDefault="0007741C" w:rsidP="002C483E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N° 003/ DCO /pro</w:t>
      </w:r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log/commune de </w:t>
      </w:r>
      <w:proofErr w:type="spellStart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Hina</w:t>
      </w:r>
      <w:proofErr w:type="spellEnd"/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/SIGAMP/20256</w:t>
      </w: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>du_</w:t>
      </w:r>
      <w:r w:rsidR="002C483E" w:rsidRP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 </w:t>
      </w:r>
      <w:r w:rsidR="002C483E">
        <w:rPr>
          <w:rFonts w:ascii="Times New Roman" w:eastAsia="SimSun" w:hAnsi="Times New Roman" w:cs="Times New Roman"/>
          <w:b/>
          <w:sz w:val="24"/>
          <w:szCs w:val="24"/>
          <w:lang w:val="fr-CA"/>
        </w:rPr>
        <w:t>du_19 mars 2026</w:t>
      </w:r>
      <w:r>
        <w:rPr>
          <w:rFonts w:ascii="Times New Roman" w:eastAsia="SimSun" w:hAnsi="Times New Roman" w:cs="Times New Roman"/>
          <w:b/>
          <w:sz w:val="24"/>
          <w:szCs w:val="24"/>
          <w:lang w:val="fr-CA"/>
        </w:rPr>
        <w:t xml:space="preserve">; </w:t>
      </w:r>
    </w:p>
    <w:p w:rsidR="0007741C" w:rsidRDefault="0007741C" w:rsidP="0007741C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07741C" w:rsidRDefault="0007741C" w:rsidP="0007741C">
      <w:pPr>
        <w:spacing w:line="360" w:lineRule="auto"/>
        <w:jc w:val="both"/>
        <w:rPr>
          <w:rStyle w:val="fontstyle01"/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ontstyle21"/>
          <w:rFonts w:ascii="Times New Roman" w:hAnsi="Times New Roman" w:cs="Times New Roman"/>
          <w:sz w:val="24"/>
          <w:szCs w:val="24"/>
        </w:rPr>
        <w:t>relatives à la construction d’un BLOC DE DEUX SALLES DE CLASSE EQUIPEES E respectivement dans l</w:t>
      </w:r>
      <w:r w:rsidR="002C483E">
        <w:rPr>
          <w:rStyle w:val="fontstyle21"/>
          <w:rFonts w:ascii="Times New Roman" w:hAnsi="Times New Roman" w:cs="Times New Roman"/>
          <w:sz w:val="24"/>
          <w:szCs w:val="24"/>
        </w:rPr>
        <w:t>es localités de : MADAMA, KAFTAKA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ET </w:t>
      </w:r>
      <w:r w:rsidR="002C483E">
        <w:rPr>
          <w:rStyle w:val="fontstyle21"/>
          <w:rFonts w:ascii="Times New Roman" w:hAnsi="Times New Roman" w:cs="Times New Roman"/>
          <w:color w:val="000000" w:themeColor="text1"/>
        </w:rPr>
        <w:t xml:space="preserve">le forage équipée  d’une mini –AEP  à MAYO-MBOUDI  </w:t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dans la COMMUNE DE HINA DEPARTEMENT DU MAYO TSANAGA REGION DE L’EXTREME-NORD financées par le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Projet Gouvernance Locale et Communautés Résilientes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(PROLOG) </w:t>
      </w:r>
      <w:r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 xml:space="preserve">pour </w:t>
      </w:r>
      <w:r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>le</w:t>
      </w:r>
      <w:r>
        <w:rPr>
          <w:rStyle w:val="fontstyle4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C483E"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  <w:t>compte de l'exercice 2026</w:t>
      </w:r>
      <w:r>
        <w:rPr>
          <w:rStyle w:val="fontstyle01"/>
          <w:rFonts w:ascii="Times New Roman" w:hAnsi="Times New Roman" w:cs="Times New Roman"/>
          <w:color w:val="626262"/>
          <w:sz w:val="24"/>
          <w:szCs w:val="24"/>
        </w:rPr>
        <w:t xml:space="preserve">, </w:t>
      </w:r>
      <w:r>
        <w:rPr>
          <w:rStyle w:val="fontstyle41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sont </w:t>
      </w:r>
      <w:r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déclarées</w:t>
      </w:r>
      <w:r>
        <w:rPr>
          <w:rStyle w:val="fontstyle21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483E">
        <w:rPr>
          <w:rStyle w:val="fontstyle01"/>
          <w:rFonts w:ascii="Times New Roman" w:hAnsi="Times New Roman" w:cs="Times New Roman"/>
          <w:sz w:val="24"/>
          <w:szCs w:val="24"/>
        </w:rPr>
        <w:t xml:space="preserve">infructueuses </w:t>
      </w:r>
      <w:r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.</w:t>
      </w:r>
    </w:p>
    <w:p w:rsidR="0007741C" w:rsidRPr="00E60232" w:rsidRDefault="002C483E" w:rsidP="0007741C">
      <w:pPr>
        <w:spacing w:line="360" w:lineRule="auto"/>
        <w:jc w:val="both"/>
        <w:rPr>
          <w:rStyle w:val="fontstyle21"/>
          <w:rFonts w:ascii="Times New Roman" w:hAnsi="Times New Roman" w:cstheme="minorBidi"/>
          <w:b/>
          <w:i/>
          <w:iCs/>
          <w:sz w:val="28"/>
          <w:szCs w:val="24"/>
          <w:u w:val="single"/>
        </w:rPr>
      </w:pPr>
      <w:r w:rsidRPr="002C483E">
        <w:rPr>
          <w:rStyle w:val="fontstyle01"/>
          <w:rFonts w:ascii="Times New Roman" w:hAnsi="Times New Roman" w:cs="Times New Roman"/>
          <w:i/>
          <w:iCs/>
          <w:sz w:val="28"/>
          <w:szCs w:val="24"/>
          <w:u w:val="single"/>
        </w:rPr>
        <w:t>MOTIF</w:t>
      </w:r>
      <w:r w:rsidR="00F30C54">
        <w:rPr>
          <w:rStyle w:val="fontstyle01"/>
          <w:rFonts w:ascii="Times New Roman" w:hAnsi="Times New Roman" w:cs="Times New Roman"/>
          <w:i/>
          <w:iCs/>
          <w:sz w:val="28"/>
          <w:szCs w:val="24"/>
          <w:u w:val="single"/>
        </w:rPr>
        <w:t xml:space="preserve"> : </w:t>
      </w:r>
      <w:r w:rsidR="00F30C54" w:rsidRPr="00F30C54">
        <w:rPr>
          <w:rStyle w:val="fontstyle01"/>
          <w:rFonts w:ascii="Times New Roman" w:hAnsi="Times New Roman" w:cs="Times New Roman"/>
          <w:i/>
          <w:iCs/>
          <w:sz w:val="28"/>
          <w:szCs w:val="24"/>
        </w:rPr>
        <w:t xml:space="preserve">selon la convention  du bailleur </w:t>
      </w:r>
      <w:r w:rsidR="00E60232">
        <w:rPr>
          <w:rStyle w:val="fontstyle01"/>
          <w:rFonts w:ascii="Times New Roman" w:hAnsi="Times New Roman" w:cs="Times New Roman"/>
          <w:i/>
          <w:iCs/>
          <w:sz w:val="28"/>
          <w:szCs w:val="24"/>
        </w:rPr>
        <w:t xml:space="preserve">de </w:t>
      </w:r>
      <w:r w:rsidR="00F30C54" w:rsidRPr="00F30C54">
        <w:rPr>
          <w:rStyle w:val="fontstyle01"/>
          <w:rFonts w:ascii="Times New Roman" w:hAnsi="Times New Roman" w:cs="Times New Roman"/>
          <w:i/>
          <w:iCs/>
          <w:sz w:val="28"/>
          <w:szCs w:val="24"/>
        </w:rPr>
        <w:t xml:space="preserve"> fond du   en son article 6.1</w:t>
      </w:r>
      <w:r w:rsidR="00E60232">
        <w:rPr>
          <w:rStyle w:val="fontstyle01"/>
          <w:rFonts w:ascii="Times New Roman" w:hAnsi="Times New Roman" w:cs="Times New Roman"/>
          <w:i/>
          <w:iCs/>
          <w:sz w:val="28"/>
          <w:szCs w:val="24"/>
        </w:rPr>
        <w:t xml:space="preserve"> les Demande de cotations </w:t>
      </w:r>
      <w:r w:rsidR="00F30C54" w:rsidRPr="00F30C54">
        <w:rPr>
          <w:rStyle w:val="fontstyle01"/>
          <w:rFonts w:ascii="Times New Roman" w:hAnsi="Times New Roman" w:cs="Times New Roman"/>
          <w:i/>
          <w:iCs/>
          <w:sz w:val="28"/>
          <w:szCs w:val="24"/>
        </w:rPr>
        <w:t xml:space="preserve"> doivent comparer plusieurs devis en plus les avis publiés manquent les  dates  et les heures de dépôt </w:t>
      </w:r>
      <w:r w:rsidR="0007741C">
        <w:rPr>
          <w:rFonts w:ascii="Times New Roman" w:hAnsi="Times New Roman" w:cs="Times New Roman"/>
          <w:b/>
          <w:bCs/>
          <w:color w:val="2F2F2F"/>
          <w:sz w:val="24"/>
          <w:szCs w:val="24"/>
        </w:rPr>
        <w:br/>
      </w:r>
      <w:r w:rsidR="0007741C">
        <w:rPr>
          <w:rStyle w:val="fontstyle21"/>
          <w:rFonts w:ascii="Times New Roman" w:hAnsi="Times New Roman" w:cs="Times New Roman"/>
          <w:b/>
          <w:bCs/>
          <w:sz w:val="28"/>
          <w:szCs w:val="28"/>
          <w:u w:val="single"/>
        </w:rPr>
        <w:t>Article 2 :</w:t>
      </w:r>
      <w:r w:rsidR="0007741C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07741C">
        <w:rPr>
          <w:rStyle w:val="fontstyle21"/>
          <w:rFonts w:ascii="Times New Roman" w:hAnsi="Times New Roman" w:cs="Times New Roman"/>
          <w:sz w:val="24"/>
          <w:szCs w:val="24"/>
        </w:rPr>
        <w:t>les entreprises intéressées par la réalisation des projets suscités sont informées</w:t>
      </w:r>
      <w:r w:rsidR="0007741C">
        <w:rPr>
          <w:rFonts w:ascii="Times New Roman" w:hAnsi="Times New Roman" w:cs="Times New Roman"/>
          <w:color w:val="2F2F2F"/>
          <w:sz w:val="24"/>
          <w:szCs w:val="24"/>
        </w:rPr>
        <w:br/>
      </w:r>
      <w:r w:rsidR="0007741C">
        <w:rPr>
          <w:rStyle w:val="fontstyle21"/>
          <w:rFonts w:ascii="Times New Roman" w:hAnsi="Times New Roman" w:cs="Times New Roman"/>
          <w:sz w:val="24"/>
          <w:szCs w:val="24"/>
        </w:rPr>
        <w:t xml:space="preserve">que de </w:t>
      </w:r>
      <w:r w:rsidR="0007741C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>nouvelles</w:t>
      </w:r>
      <w:r w:rsidR="0007741C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7741C">
        <w:rPr>
          <w:rStyle w:val="fontstyle21"/>
          <w:rFonts w:ascii="Times New Roman" w:hAnsi="Times New Roman" w:cs="Times New Roman"/>
          <w:sz w:val="24"/>
          <w:szCs w:val="24"/>
        </w:rPr>
        <w:t xml:space="preserve">Demandes de Cotations seront relancées dans </w:t>
      </w:r>
      <w:r w:rsidR="0007741C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>les</w:t>
      </w:r>
      <w:r w:rsidR="0007741C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7741C">
        <w:rPr>
          <w:rStyle w:val="fontstyle41"/>
          <w:rFonts w:ascii="Times New Roman" w:hAnsi="Times New Roman" w:cs="Times New Roman"/>
          <w:i w:val="0"/>
          <w:iCs w:val="0"/>
          <w:sz w:val="24"/>
          <w:szCs w:val="24"/>
        </w:rPr>
        <w:t>meilleurs</w:t>
      </w:r>
      <w:r w:rsidR="0007741C"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="0007741C">
        <w:rPr>
          <w:rStyle w:val="fontstyle21"/>
          <w:rFonts w:ascii="Times New Roman" w:hAnsi="Times New Roman" w:cs="Times New Roman"/>
          <w:sz w:val="24"/>
          <w:szCs w:val="24"/>
        </w:rPr>
        <w:t>délais.</w:t>
      </w:r>
    </w:p>
    <w:p w:rsidR="0007741C" w:rsidRDefault="0007741C" w:rsidP="0007741C">
      <w:pPr>
        <w:spacing w:line="360" w:lineRule="auto"/>
      </w:pPr>
      <w:r>
        <w:rPr>
          <w:rFonts w:ascii="Times New Roman" w:hAnsi="Times New Roman" w:cs="Times New Roman"/>
          <w:color w:val="2F2F2F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  <w:u w:val="single"/>
        </w:rPr>
        <w:t>Ampliations</w:t>
      </w:r>
      <w:r>
        <w:rPr>
          <w:rStyle w:val="fontstyle21"/>
          <w:rFonts w:ascii="Times New Roman" w:hAnsi="Times New Roman" w:cs="Times New Roman"/>
          <w:sz w:val="24"/>
          <w:szCs w:val="24"/>
          <w:u w:val="single"/>
        </w:rPr>
        <w:t xml:space="preserve"> :</w:t>
      </w:r>
      <w:r>
        <w:rPr>
          <w:rFonts w:ascii="Times New Roman" w:hAnsi="Times New Roman" w:cs="Times New Roman"/>
          <w:color w:val="2F2F2F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ARMP (pour publication)</w:t>
      </w:r>
      <w:r>
        <w:rPr>
          <w:rStyle w:val="fontstyle21"/>
          <w:rFonts w:ascii="Times New Roman" w:hAnsi="Times New Roman" w:cs="Times New Roman"/>
          <w:color w:val="494A48"/>
          <w:sz w:val="24"/>
          <w:szCs w:val="24"/>
        </w:rPr>
        <w:t xml:space="preserve"> ;                           </w:t>
      </w:r>
      <w:r w:rsidR="00F30C54">
        <w:rPr>
          <w:rStyle w:val="fontstyle21"/>
          <w:rFonts w:ascii="Times New Roman" w:hAnsi="Times New Roman" w:cs="Times New Roman"/>
          <w:color w:val="494A48"/>
          <w:sz w:val="24"/>
          <w:szCs w:val="24"/>
        </w:rPr>
        <w:t xml:space="preserve">                     </w:t>
      </w:r>
      <w:r>
        <w:rPr>
          <w:rStyle w:val="fontstyle21"/>
          <w:rFonts w:ascii="Times New Roman" w:hAnsi="Times New Roman" w:cs="Times New Roman"/>
          <w:color w:val="494A48"/>
          <w:sz w:val="24"/>
          <w:szCs w:val="24"/>
        </w:rPr>
        <w:t xml:space="preserve">   </w:t>
      </w:r>
      <w:r w:rsidR="00F5128D">
        <w:rPr>
          <w:rStyle w:val="fontstyle21"/>
          <w:rFonts w:ascii="Times New Roman" w:hAnsi="Times New Roman" w:cs="Times New Roman"/>
          <w:color w:val="494A48"/>
          <w:sz w:val="24"/>
          <w:szCs w:val="24"/>
        </w:rPr>
        <w:t xml:space="preserve">         </w:t>
      </w:r>
      <w:r w:rsidR="00F5128D">
        <w:rPr>
          <w:rStyle w:val="fontstyle21"/>
          <w:rFonts w:ascii="Times New Roman" w:hAnsi="Times New Roman" w:cs="Times New Roman"/>
          <w:b/>
          <w:bCs/>
          <w:color w:val="494A48"/>
          <w:sz w:val="24"/>
          <w:szCs w:val="24"/>
        </w:rPr>
        <w:t xml:space="preserve">HINA, le  30 Avril </w:t>
      </w:r>
      <w:r w:rsidR="00F30C54">
        <w:rPr>
          <w:rStyle w:val="fontstyle21"/>
          <w:rFonts w:ascii="Times New Roman" w:hAnsi="Times New Roman" w:cs="Times New Roman"/>
          <w:b/>
          <w:bCs/>
          <w:color w:val="494A48"/>
          <w:sz w:val="24"/>
          <w:szCs w:val="24"/>
        </w:rPr>
        <w:t xml:space="preserve"> 2026 </w:t>
      </w:r>
      <w:r>
        <w:rPr>
          <w:rFonts w:ascii="Times New Roman" w:hAnsi="Times New Roman" w:cs="Times New Roman"/>
          <w:color w:val="494A48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 MINMAP</w:t>
      </w:r>
      <w:r>
        <w:rPr>
          <w:rStyle w:val="fontstyle21"/>
          <w:rFonts w:ascii="Times New Roman" w:hAnsi="Times New Roman" w:cs="Times New Roman"/>
          <w:color w:val="494A48"/>
          <w:sz w:val="24"/>
          <w:szCs w:val="24"/>
        </w:rPr>
        <w:t xml:space="preserve"> ;                                                                        </w:t>
      </w:r>
      <w:r>
        <w:rPr>
          <w:rFonts w:ascii="Times New Roman" w:hAnsi="Times New Roman" w:cs="Times New Roman"/>
          <w:color w:val="494A48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  <w:sz w:val="24"/>
          <w:szCs w:val="24"/>
        </w:rPr>
        <w:t xml:space="preserve">Président CIPM C-H                                                                                       </w:t>
      </w:r>
      <w:r>
        <w:rPr>
          <w:rStyle w:val="fontstyle21"/>
          <w:rFonts w:ascii="Times New Roman" w:hAnsi="Times New Roman" w:cs="Times New Roman"/>
          <w:b/>
          <w:bCs/>
          <w:sz w:val="24"/>
          <w:szCs w:val="24"/>
        </w:rPr>
        <w:t>LE MAIRE,</w:t>
      </w:r>
    </w:p>
    <w:p w:rsidR="006F1CEA" w:rsidRDefault="006F1CEA">
      <w:bookmarkStart w:id="0" w:name="_GoBack"/>
      <w:bookmarkEnd w:id="0"/>
    </w:p>
    <w:sectPr w:rsidR="006F1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Helvetica-Oblique">
    <w:altName w:val="Helvetic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708C"/>
    <w:multiLevelType w:val="hybridMultilevel"/>
    <w:tmpl w:val="D86AD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1C"/>
    <w:rsid w:val="0007741C"/>
    <w:rsid w:val="002A7CE9"/>
    <w:rsid w:val="002C483E"/>
    <w:rsid w:val="0031241A"/>
    <w:rsid w:val="00475B3F"/>
    <w:rsid w:val="006F1CEA"/>
    <w:rsid w:val="00E60232"/>
    <w:rsid w:val="00F30C54"/>
    <w:rsid w:val="00F5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65DE-2693-4A41-9055-750AF1B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C"/>
    <w:pPr>
      <w:spacing w:line="256" w:lineRule="auto"/>
    </w:pPr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41C"/>
    <w:pPr>
      <w:ind w:left="720"/>
      <w:contextualSpacing/>
    </w:pPr>
  </w:style>
  <w:style w:type="character" w:customStyle="1" w:styleId="fontstyle01">
    <w:name w:val="fontstyle01"/>
    <w:basedOn w:val="Policepardfaut"/>
    <w:rsid w:val="0007741C"/>
    <w:rPr>
      <w:rFonts w:ascii="Helvetica-Bold" w:hAnsi="Helvetica-Bold" w:hint="default"/>
      <w:b/>
      <w:bCs/>
      <w:i w:val="0"/>
      <w:iCs w:val="0"/>
      <w:color w:val="2F2F2F"/>
      <w:sz w:val="22"/>
      <w:szCs w:val="22"/>
    </w:rPr>
  </w:style>
  <w:style w:type="character" w:customStyle="1" w:styleId="fontstyle21">
    <w:name w:val="fontstyle21"/>
    <w:basedOn w:val="Policepardfaut"/>
    <w:rsid w:val="0007741C"/>
    <w:rPr>
      <w:rFonts w:ascii="Helvetica" w:hAnsi="Helvetica" w:cs="Helvetica" w:hint="default"/>
      <w:b w:val="0"/>
      <w:bCs w:val="0"/>
      <w:i w:val="0"/>
      <w:iCs w:val="0"/>
      <w:color w:val="2F2F2F"/>
      <w:sz w:val="22"/>
      <w:szCs w:val="22"/>
    </w:rPr>
  </w:style>
  <w:style w:type="character" w:customStyle="1" w:styleId="fontstyle31">
    <w:name w:val="fontstyle31"/>
    <w:basedOn w:val="Policepardfaut"/>
    <w:rsid w:val="0007741C"/>
    <w:rPr>
      <w:rFonts w:ascii="Times-BoldItalic" w:hAnsi="Times-BoldItalic" w:hint="default"/>
      <w:b/>
      <w:bCs/>
      <w:i/>
      <w:iCs/>
      <w:color w:val="2F2F2F"/>
      <w:sz w:val="26"/>
      <w:szCs w:val="26"/>
    </w:rPr>
  </w:style>
  <w:style w:type="character" w:customStyle="1" w:styleId="fontstyle41">
    <w:name w:val="fontstyle41"/>
    <w:basedOn w:val="Policepardfaut"/>
    <w:rsid w:val="0007741C"/>
    <w:rPr>
      <w:rFonts w:ascii="Helvetica-Oblique" w:hAnsi="Helvetica-Oblique" w:hint="default"/>
      <w:b w:val="0"/>
      <w:bCs w:val="0"/>
      <w:i/>
      <w:iCs/>
      <w:color w:val="2F2F2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2026-05-05T13:35:00Z</dcterms:created>
  <dcterms:modified xsi:type="dcterms:W3CDTF">2026-05-05T15:41:00Z</dcterms:modified>
</cp:coreProperties>
</file>